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84"/>
          <w:szCs w:val="84"/>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香河县</w:t>
      </w:r>
      <w:r>
        <w:rPr>
          <w:rFonts w:hint="eastAsia"/>
          <w:b/>
          <w:sz w:val="44"/>
          <w:szCs w:val="44"/>
          <w:lang w:val="en-US" w:eastAsia="zh-CN"/>
        </w:rPr>
        <w:t>物价局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hint="eastAsia" w:eastAsia="黑体"/>
          <w:sz w:val="32"/>
          <w:szCs w:val="32"/>
          <w:lang w:val="en-US" w:eastAsia="zh-CN"/>
        </w:rPr>
        <w:t xml:space="preserve"> </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lang w:val="en-US" w:eastAsia="zh-CN"/>
        </w:rPr>
        <w:t>物价</w:t>
      </w:r>
      <w:r>
        <w:rPr>
          <w:rFonts w:hint="eastAsia" w:eastAsia="黑体"/>
          <w:sz w:val="32"/>
          <w:szCs w:val="32"/>
        </w:rPr>
        <w:t>部门</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
    <w:p/>
    <w:p/>
    <w:p/>
    <w:p/>
    <w:p/>
    <w:p/>
    <w:p/>
    <w:p/>
    <w:p/>
    <w:p/>
    <w:p/>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、监测、预测全县价格总水平及其结构变动趋势，提出调控意见和建议。</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、对国家和省市出台的价格（收费）改革方案及时组织实施。</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、对实行政府定价或政府指价的商品价格实行管理，对市场调节的商品和服务价格实行间接调控。</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、管理国家机关收费、公益事业收费、公用事业收费、中介服务收费和重要的经营性收费。</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、负责市场物价变化情况监测，向市局和县委、县政府反映物价方面的重要情况，为政府实施宏观调控提供决策依据；向企业发布价格信息。</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、依据有关价格法律、法规、规章，对全县商品和服务价格（收费）的监督检查，查处违法行为，受理对价格（收费）违法行为的举报。</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、负责重要工业品和农产品成本调查工作。</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、负责全县价格认证、价格评估、价格咨询等价格价格服务工作。</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、承办县政府交办的其它工作。</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5"/>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lang w:val="en-US" w:eastAsia="zh-CN"/>
              </w:rPr>
              <w:t>香河县物价局</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445" w:type="dxa"/>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行政</w:t>
            </w:r>
          </w:p>
        </w:tc>
        <w:tc>
          <w:tcPr>
            <w:tcW w:w="2665" w:type="dxa"/>
          </w:tcPr>
          <w:p>
            <w:pPr>
              <w:spacing w:after="0" w:line="560" w:lineRule="exact"/>
              <w:jc w:val="center"/>
              <w:rPr>
                <w:rFonts w:hint="default"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_GB2312" w:hAnsi="Cambria" w:eastAsia="仿宋_GB2312" w:cs="ArialUnicodeMS"/>
                <w:kern w:val="0"/>
                <w:sz w:val="28"/>
                <w:szCs w:val="28"/>
              </w:rPr>
            </w:pP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sectPr>
          <w:pgSz w:w="11906" w:h="16838"/>
          <w:pgMar w:top="1440" w:right="1803" w:bottom="1440" w:left="1803" w:header="851" w:footer="992" w:gutter="0"/>
          <w:cols w:space="0" w:num="1"/>
          <w:rtlGutter w:val="0"/>
          <w:docGrid w:type="lines" w:linePitch="319" w:charSpace="0"/>
        </w:sectPr>
      </w:pPr>
    </w:p>
    <w:p>
      <w:pPr>
        <w:jc w:val="center"/>
        <w:rPr>
          <w:rFonts w:ascii="宋体" w:cs="ArialUnicodeMS"/>
          <w:color w:val="000000"/>
          <w:kern w:val="0"/>
        </w:rPr>
      </w:pPr>
      <w:r>
        <w:rPr>
          <w:rFonts w:ascii="宋体" w:cs="ArialUnicodeMS"/>
          <w:color w:val="000000"/>
          <w:kern w:val="0"/>
        </w:rPr>
        <w:object>
          <v:shape id="_x0000_i1025" o:spt="75" type="#_x0000_t75" style="height:463.85pt;width:580.35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p>
      <w:pPr>
        <w:jc w:val="center"/>
      </w:pPr>
      <w:r>
        <w:object>
          <v:shape id="_x0000_i1026" o:spt="75" type="#_x0000_t75" style="height:449pt;width:649.4pt;" o:ole="t" filled="f" o:preferrelative="t" stroked="f" coordsize="21600,21600">
            <v:path/>
            <v:fill on="f" focussize="0,0"/>
            <v:stroke on="f"/>
            <v:imagedata r:id="rId7" o:title=""/>
            <o:lock v:ext="edit" aspectratio="f"/>
            <w10:wrap type="none"/>
            <w10:anchorlock/>
          </v:shape>
          <o:OLEObject Type="Embed" ProgID="Excel.Sheet.12" ShapeID="_x0000_i1026" DrawAspect="Content" ObjectID="_1468075726" r:id="rId6">
            <o:LockedField>false</o:LockedField>
          </o:OLEObject>
        </w:object>
      </w:r>
    </w:p>
    <w:p>
      <w:pPr>
        <w:jc w:val="center"/>
      </w:pPr>
      <w:r>
        <w:object>
          <v:shape id="_x0000_i1027" o:spt="75" type="#_x0000_t75" style="height:392.6pt;width:672.5pt;" o:ole="t" filled="f" o:preferrelative="t" stroked="f" coordsize="21600,21600">
            <v:path/>
            <v:fill on="f" focussize="0,0"/>
            <v:stroke on="f"/>
            <v:imagedata r:id="rId9" o:title=""/>
            <o:lock v:ext="edit" aspectratio="f"/>
            <w10:wrap type="none"/>
            <w10:anchorlock/>
          </v:shape>
          <o:OLEObject Type="Embed" ProgID="Excel.Sheet.12" ShapeID="_x0000_i1027" DrawAspect="Content" ObjectID="_1468075727" r:id="rId8">
            <o:LockedField>false</o:LockedField>
          </o:OLEObject>
        </w:object>
      </w:r>
    </w:p>
    <w:p>
      <w:pPr>
        <w:jc w:val="center"/>
      </w:pPr>
      <w:r>
        <w:object>
          <v:shape id="_x0000_i1028" o:spt="75" type="#_x0000_t75" style="height:483.9pt;width:618.8pt;" o:ole="t" filled="f" o:preferrelative="t" stroked="f" coordsize="21600,21600">
            <v:path/>
            <v:fill on="f" focussize="0,0"/>
            <v:stroke on="f"/>
            <v:imagedata r:id="rId11" o:title=""/>
            <o:lock v:ext="edit" aspectratio="f"/>
            <w10:wrap type="none"/>
            <w10:anchorlock/>
          </v:shape>
          <o:OLEObject Type="Embed" ProgID="Excel.Sheet.12" ShapeID="_x0000_i1028" DrawAspect="Content" ObjectID="_1468075728" r:id="rId10">
            <o:LockedField>false</o:LockedField>
          </o:OLEObject>
        </w:object>
      </w:r>
    </w:p>
    <w:p>
      <w:pPr>
        <w:jc w:val="center"/>
      </w:pPr>
      <w:r>
        <w:object>
          <v:shape id="_x0000_i1029" o:spt="75" type="#_x0000_t75" style="height:446.6pt;width:563.3pt;" o:ole="t" filled="f" o:preferrelative="t" stroked="f" coordsize="21600,21600">
            <v:path/>
            <v:fill on="f" focussize="0,0"/>
            <v:stroke on="f"/>
            <v:imagedata r:id="rId13" o:title=""/>
            <o:lock v:ext="edit" aspectratio="f"/>
            <w10:wrap type="none"/>
            <w10:anchorlock/>
          </v:shape>
          <o:OLEObject Type="Embed" ProgID="Excel.Sheet.12" ShapeID="_x0000_i1029" DrawAspect="Content" ObjectID="_1468075729" r:id="rId12">
            <o:LockedField>false</o:LockedField>
          </o:OLEObject>
        </w:object>
      </w:r>
    </w:p>
    <w:p>
      <w:pPr>
        <w:jc w:val="center"/>
      </w:pPr>
      <w:r>
        <w:object>
          <v:shape id="_x0000_i1030" o:spt="75" type="#_x0000_t75" style="height:450.45pt;width:674.2pt;" o:ole="t" filled="f" o:preferrelative="t" stroked="f" coordsize="21600,21600">
            <v:path/>
            <v:fill on="f" focussize="0,0"/>
            <v:stroke on="f"/>
            <v:imagedata r:id="rId15" o:title=""/>
            <o:lock v:ext="edit" aspectratio="f"/>
            <w10:wrap type="none"/>
            <w10:anchorlock/>
          </v:shape>
          <o:OLEObject Type="Embed" ProgID="Excel.Sheet.12" ShapeID="_x0000_i1030" DrawAspect="Content" ObjectID="_1468075730" r:id="rId14">
            <o:LockedField>false</o:LockedField>
          </o:OLEObject>
        </w:object>
      </w:r>
    </w:p>
    <w:p/>
    <w:p>
      <w:pPr>
        <w:jc w:val="center"/>
      </w:pPr>
      <w:r>
        <w:object>
          <v:shape id="_x0000_i1031" o:spt="75" type="#_x0000_t75" style="height:163.75pt;width:697.7pt;" o:ole="t" filled="f" o:preferrelative="t" stroked="f" coordsize="21600,21600">
            <v:path/>
            <v:fill on="f" focussize="0,0"/>
            <v:stroke on="f"/>
            <v:imagedata r:id="rId17" o:title=""/>
            <o:lock v:ext="edit" aspectratio="f"/>
            <w10:wrap type="none"/>
            <w10:anchorlock/>
          </v:shape>
          <o:OLEObject Type="Embed" ProgID="Excel.Sheet.12" ShapeID="_x0000_i1031" DrawAspect="Content" ObjectID="_1468075731" r:id="rId16">
            <o:LockedField>false</o:LockedField>
          </o:OLEObject>
        </w:object>
      </w:r>
    </w:p>
    <w:p/>
    <w:p/>
    <w:p/>
    <w:p/>
    <w:p/>
    <w:p/>
    <w:p/>
    <w:p/>
    <w:p/>
    <w:p/>
    <w:p/>
    <w:p/>
    <w:p/>
    <w:p/>
    <w:p/>
    <w:p/>
    <w:p/>
    <w:p/>
    <w:p>
      <w:pPr>
        <w:jc w:val="center"/>
      </w:pPr>
      <w:r>
        <w:object>
          <v:shape id="_x0000_i1032" o:spt="75" type="#_x0000_t75" style="height:233.4pt;width:697.45pt;" o:ole="t" filled="f" o:preferrelative="t" stroked="f" coordsize="21600,21600">
            <v:path/>
            <v:fill on="f" focussize="0,0"/>
            <v:stroke on="f"/>
            <v:imagedata r:id="rId19" o:title=""/>
            <o:lock v:ext="edit" aspectratio="f"/>
            <w10:wrap type="none"/>
            <w10:anchorlock/>
          </v:shape>
          <o:OLEObject Type="Embed" ProgID="Excel.Sheet.12" ShapeID="_x0000_i1032" DrawAspect="Content" ObjectID="_1468075732" r:id="rId18">
            <o:LockedField>false</o:LockedField>
          </o:OLEObject>
        </w:object>
      </w:r>
    </w:p>
    <w:p/>
    <w:p/>
    <w:p/>
    <w:p/>
    <w:p/>
    <w:p/>
    <w:p/>
    <w:p/>
    <w:p/>
    <w:p>
      <w:pPr>
        <w:jc w:val="center"/>
      </w:pPr>
      <w:r>
        <w:object>
          <v:shape id="_x0000_i1033" o:spt="75" type="#_x0000_t75" style="height:308.75pt;width:566.1pt;" o:ole="t" filled="f" o:preferrelative="t" stroked="f" coordsize="21600,21600">
            <v:path/>
            <v:fill on="f" focussize="0,0"/>
            <v:stroke on="f"/>
            <v:imagedata r:id="rId21" o:title=""/>
            <o:lock v:ext="edit" aspectratio="f"/>
            <w10:wrap type="none"/>
            <w10:anchorlock/>
          </v:shape>
          <o:OLEObject Type="Embed" ProgID="Excel.Sheet.12" ShapeID="_x0000_i1033" DrawAspect="Content" ObjectID="_1468075733" r:id="rId20">
            <o:LockedField>false</o:LockedField>
          </o:OLEObject>
        </w:object>
      </w:r>
    </w:p>
    <w:p/>
    <w:p/>
    <w:p/>
    <w:p/>
    <w:p/>
    <w:p>
      <w:pPr>
        <w:jc w:val="center"/>
        <w:sectPr>
          <w:pgSz w:w="16838" w:h="11906" w:orient="landscape"/>
          <w:pgMar w:top="1803" w:right="1440" w:bottom="1803" w:left="1440" w:header="851" w:footer="992" w:gutter="0"/>
          <w:cols w:space="0" w:num="1"/>
          <w:rtlGutter w:val="0"/>
          <w:docGrid w:type="lines" w:linePitch="319" w:charSpace="0"/>
        </w:sectPr>
      </w:pPr>
      <w:r>
        <w:object>
          <v:shape id="_x0000_i1034" o:spt="75" type="#_x0000_t75" style="height:321.45pt;width:697.45pt;" o:ole="t" filled="f" o:preferrelative="t" stroked="f" coordsize="21600,21600">
            <v:path/>
            <v:fill on="f" focussize="0,0"/>
            <v:stroke on="f"/>
            <v:imagedata r:id="rId23" o:title=""/>
            <o:lock v:ext="edit" aspectratio="f"/>
            <w10:wrap type="none"/>
            <w10:anchorlock/>
          </v:shape>
          <o:OLEObject Type="Embed" ProgID="Excel.Sheet.12" ShapeID="_x0000_i1034" DrawAspect="Content" ObjectID="_1468075734" r:id="rId22">
            <o:LockedField>false</o:LockedField>
          </o:OLEObject>
        </w:object>
      </w:r>
    </w:p>
    <w:p>
      <w:pPr>
        <w:widowControl/>
        <w:spacing w:line="1200" w:lineRule="exact"/>
        <w:jc w:val="center"/>
        <w:rPr>
          <w:rFonts w:hint="eastAsia" w:ascii="黑体" w:hAnsi="宋体" w:eastAsia="黑体"/>
          <w:color w:val="000000"/>
          <w:sz w:val="96"/>
          <w:szCs w:val="96"/>
        </w:rPr>
      </w:pPr>
    </w:p>
    <w:p>
      <w:pPr>
        <w:widowControl/>
        <w:spacing w:line="1200" w:lineRule="exact"/>
        <w:jc w:val="center"/>
        <w:rPr>
          <w:rFonts w:hint="eastAsia" w:ascii="黑体" w:hAnsi="宋体" w:eastAsia="黑体"/>
          <w:color w:val="000000"/>
          <w:sz w:val="96"/>
          <w:szCs w:val="96"/>
        </w:rPr>
      </w:pPr>
    </w:p>
    <w:p>
      <w:pPr>
        <w:widowControl/>
        <w:spacing w:line="1200" w:lineRule="exact"/>
        <w:jc w:val="center"/>
        <w:rPr>
          <w:rFonts w:hint="eastAsia"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134" w:bottom="1984" w:left="1134" w:header="851" w:footer="992" w:gutter="0"/>
          <w:cols w:space="0" w:num="1"/>
          <w:rtlGutter w:val="0"/>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pStyle w:val="3"/>
        <w:spacing w:before="0" w:after="0" w:line="584" w:lineRule="exact"/>
        <w:ind w:firstLine="640" w:firstLineChars="200"/>
        <w:rPr>
          <w:rFonts w:hint="eastAsia" w:ascii="仿宋" w:hAnsi="仿宋" w:eastAsia="仿宋"/>
          <w:b w:val="0"/>
          <w:lang w:val="en-US" w:eastAsia="zh-CN"/>
        </w:rPr>
      </w:pPr>
      <w:r>
        <w:rPr>
          <w:rFonts w:ascii="仿宋" w:hAnsi="仿宋" w:eastAsia="仿宋"/>
          <w:b w:val="0"/>
        </w:rPr>
        <w:t>本部门201</w:t>
      </w:r>
      <w:r>
        <w:rPr>
          <w:rFonts w:hint="eastAsia" w:ascii="仿宋" w:hAnsi="仿宋" w:eastAsia="仿宋"/>
          <w:b w:val="0"/>
          <w:lang w:val="en-US" w:eastAsia="zh-CN"/>
        </w:rPr>
        <w:t>8</w:t>
      </w:r>
      <w:r>
        <w:rPr>
          <w:rFonts w:ascii="仿宋" w:hAnsi="仿宋" w:eastAsia="仿宋"/>
          <w:b w:val="0"/>
        </w:rPr>
        <w:t>年度年初结转和结余</w:t>
      </w:r>
      <w:r>
        <w:rPr>
          <w:rFonts w:hint="eastAsia" w:ascii="仿宋" w:hAnsi="仿宋" w:eastAsia="仿宋"/>
          <w:b w:val="0"/>
          <w:lang w:val="en-US" w:eastAsia="zh-CN"/>
        </w:rPr>
        <w:t>21.9</w:t>
      </w:r>
      <w:r>
        <w:rPr>
          <w:rFonts w:ascii="仿宋" w:hAnsi="仿宋" w:eastAsia="仿宋"/>
          <w:b w:val="0"/>
        </w:rPr>
        <w:t>万元，本年收入</w:t>
      </w:r>
      <w:r>
        <w:rPr>
          <w:rFonts w:hint="eastAsia" w:ascii="仿宋" w:hAnsi="仿宋" w:eastAsia="仿宋"/>
          <w:b w:val="0"/>
          <w:lang w:val="en-US" w:eastAsia="zh-CN"/>
        </w:rPr>
        <w:t>397.35</w:t>
      </w:r>
      <w:r>
        <w:rPr>
          <w:rFonts w:ascii="仿宋" w:hAnsi="仿宋" w:eastAsia="仿宋"/>
          <w:b w:val="0"/>
        </w:rPr>
        <w:t>万元；本年支出</w:t>
      </w:r>
      <w:r>
        <w:rPr>
          <w:rFonts w:hint="eastAsia" w:ascii="仿宋" w:hAnsi="仿宋" w:eastAsia="仿宋"/>
          <w:b w:val="0"/>
          <w:lang w:val="en-US" w:eastAsia="zh-CN"/>
        </w:rPr>
        <w:t>410.99</w:t>
      </w:r>
      <w:r>
        <w:rPr>
          <w:rFonts w:ascii="仿宋" w:hAnsi="仿宋" w:eastAsia="仿宋"/>
          <w:b w:val="0"/>
        </w:rPr>
        <w:t>万元、年末结转和结余</w:t>
      </w:r>
      <w:r>
        <w:rPr>
          <w:rFonts w:hint="eastAsia" w:ascii="仿宋" w:hAnsi="仿宋" w:eastAsia="仿宋"/>
          <w:b w:val="0"/>
          <w:lang w:val="en-US" w:eastAsia="zh-CN"/>
        </w:rPr>
        <w:t>8.27</w:t>
      </w:r>
      <w:r>
        <w:rPr>
          <w:rFonts w:ascii="仿宋" w:hAnsi="仿宋" w:eastAsia="仿宋"/>
          <w:b w:val="0"/>
        </w:rPr>
        <w:t>万元。与201</w:t>
      </w:r>
      <w:r>
        <w:rPr>
          <w:rFonts w:hint="eastAsia" w:ascii="仿宋" w:hAnsi="仿宋" w:eastAsia="仿宋"/>
          <w:b w:val="0"/>
          <w:lang w:val="en-US" w:eastAsia="zh-CN"/>
        </w:rPr>
        <w:t>7</w:t>
      </w:r>
      <w:r>
        <w:rPr>
          <w:rFonts w:ascii="仿宋" w:hAnsi="仿宋" w:eastAsia="仿宋"/>
          <w:b w:val="0"/>
        </w:rPr>
        <w:t>年度决算相比，本年收入增加</w:t>
      </w:r>
      <w:r>
        <w:rPr>
          <w:rFonts w:hint="eastAsia" w:ascii="仿宋" w:hAnsi="仿宋" w:eastAsia="仿宋"/>
          <w:b w:val="0"/>
          <w:lang w:val="en-US" w:eastAsia="zh-CN"/>
        </w:rPr>
        <w:t>96.43</w:t>
      </w:r>
      <w:r>
        <w:rPr>
          <w:rFonts w:ascii="仿宋" w:hAnsi="仿宋" w:eastAsia="仿宋"/>
          <w:b w:val="0"/>
        </w:rPr>
        <w:t>万元，增长</w:t>
      </w:r>
      <w:r>
        <w:rPr>
          <w:rFonts w:hint="eastAsia" w:ascii="仿宋" w:hAnsi="仿宋" w:eastAsia="仿宋"/>
          <w:b w:val="0"/>
          <w:lang w:val="en-US" w:eastAsia="zh-CN"/>
        </w:rPr>
        <w:t>32</w:t>
      </w:r>
      <w:r>
        <w:rPr>
          <w:rFonts w:ascii="仿宋" w:hAnsi="仿宋" w:eastAsia="仿宋"/>
          <w:b w:val="0"/>
        </w:rPr>
        <w:t>%，主要是</w:t>
      </w:r>
      <w:r>
        <w:rPr>
          <w:rFonts w:hint="eastAsia" w:ascii="仿宋" w:hAnsi="仿宋" w:eastAsia="仿宋"/>
          <w:b w:val="0"/>
          <w:lang w:val="en-US" w:eastAsia="zh-CN"/>
        </w:rPr>
        <w:t>人员经费的增加</w:t>
      </w:r>
      <w:r>
        <w:rPr>
          <w:rFonts w:ascii="仿宋" w:hAnsi="仿宋" w:eastAsia="仿宋"/>
          <w:b w:val="0"/>
        </w:rPr>
        <w:t>；本年支出增加</w:t>
      </w:r>
      <w:r>
        <w:rPr>
          <w:rFonts w:hint="eastAsia" w:ascii="仿宋" w:hAnsi="仿宋" w:eastAsia="仿宋"/>
          <w:b w:val="0"/>
          <w:lang w:val="en-US" w:eastAsia="zh-CN"/>
        </w:rPr>
        <w:t>116.21</w:t>
      </w:r>
      <w:r>
        <w:rPr>
          <w:rFonts w:ascii="仿宋" w:hAnsi="仿宋" w:eastAsia="仿宋"/>
          <w:b w:val="0"/>
        </w:rPr>
        <w:t>万元，增长</w:t>
      </w:r>
      <w:r>
        <w:rPr>
          <w:rFonts w:hint="eastAsia" w:ascii="仿宋" w:hAnsi="仿宋" w:eastAsia="仿宋"/>
          <w:b w:val="0"/>
          <w:lang w:val="en-US" w:eastAsia="zh-CN"/>
        </w:rPr>
        <w:t>39.4</w:t>
      </w:r>
    </w:p>
    <w:p>
      <w:pPr>
        <w:pStyle w:val="3"/>
        <w:spacing w:before="0" w:after="0" w:line="584" w:lineRule="exact"/>
        <w:rPr>
          <w:rFonts w:ascii="仿宋" w:hAnsi="仿宋" w:eastAsia="仿宋"/>
          <w:b w:val="0"/>
          <w:lang w:val="en-US"/>
        </w:rPr>
      </w:pPr>
      <w:r>
        <w:rPr>
          <w:rFonts w:ascii="仿宋" w:hAnsi="仿宋" w:eastAsia="仿宋"/>
          <w:b w:val="0"/>
        </w:rPr>
        <w:t>%，主要是</w:t>
      </w:r>
      <w:r>
        <w:rPr>
          <w:rFonts w:hint="eastAsia" w:ascii="仿宋" w:hAnsi="仿宋" w:eastAsia="仿宋"/>
          <w:b w:val="0"/>
          <w:lang w:val="en-US" w:eastAsia="zh-CN"/>
        </w:rPr>
        <w:t>人员经费增加、物价上涨、业务量增大，所需办公费、印刷费、邮电费、办公用水用电等费用相应增加。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黑体" w:hAnsi="Calibri" w:eastAsia="黑体"/>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397.35</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397.35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ascii="仿宋_GB2312" w:eastAsia="仿宋_GB2312" w:cs="DengXian-Regular"/>
          <w:sz w:val="32"/>
          <w:szCs w:val="32"/>
        </w:rPr>
        <w:t>%</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410.99</w:t>
      </w:r>
      <w:r>
        <w:rPr>
          <w:rFonts w:hint="eastAsia" w:ascii="仿宋_GB2312" w:eastAsia="仿宋_GB2312" w:cs="DengXian-Regular"/>
          <w:sz w:val="32"/>
          <w:szCs w:val="32"/>
        </w:rPr>
        <w:t>万元，其中：</w:t>
      </w:r>
      <w:r>
        <w:rPr>
          <w:rFonts w:hint="eastAsia" w:ascii="仿宋_GB2312" w:eastAsia="仿宋_GB2312" w:cs="DengXian-Regular"/>
          <w:sz w:val="32"/>
          <w:szCs w:val="32"/>
          <w:lang w:val="en-US" w:eastAsia="zh-CN"/>
        </w:rPr>
        <w:t>基本支出294.78万元，占100%；项目支出0万元，占0%；经营支出0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hint="eastAsia"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本部门2018年度形成的财政拨款收支均为一般公共预算财政拨款，其中一般公共预算财政拨款本年收入397.35万元,比2017年度增加96.43万元，增长32.0%，主要是人员经费的增加</w:t>
      </w:r>
      <w:r>
        <w:rPr>
          <w:rFonts w:hint="eastAsia" w:ascii="仿宋_GB2312" w:eastAsia="仿宋_GB2312" w:cs="DengXian-Regular"/>
          <w:sz w:val="32"/>
          <w:szCs w:val="32"/>
        </w:rPr>
        <w:t>；本年支出增加</w:t>
      </w:r>
      <w:r>
        <w:rPr>
          <w:rFonts w:hint="eastAsia" w:ascii="仿宋_GB2312" w:eastAsia="仿宋_GB2312" w:cs="DengXian-Regular"/>
          <w:sz w:val="32"/>
          <w:szCs w:val="32"/>
          <w:lang w:val="en-US" w:eastAsia="zh-CN"/>
        </w:rPr>
        <w:t>116.21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39.4</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人员经费增加、物价上涨、业务量增大，所需办公费、印刷费、邮电费、办公用水用电等费用相应增加</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397.35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89.7</w:t>
      </w:r>
      <w:r>
        <w:rPr>
          <w:rFonts w:ascii="仿宋_GB2312" w:eastAsia="仿宋_GB2312" w:cs="DengXian-Regular"/>
          <w:sz w:val="32"/>
          <w:szCs w:val="32"/>
        </w:rPr>
        <w:t>%,</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45.66</w:t>
      </w:r>
      <w:r>
        <w:rPr>
          <w:rFonts w:hint="eastAsia" w:ascii="仿宋_GB2312" w:eastAsia="仿宋_GB2312" w:cs="DengXian-Regular"/>
          <w:sz w:val="32"/>
          <w:szCs w:val="32"/>
        </w:rPr>
        <w:t>万元，决算数小于预算数主要是</w:t>
      </w:r>
      <w:r>
        <w:rPr>
          <w:rFonts w:hint="eastAsia" w:ascii="仿宋" w:hAnsi="仿宋" w:eastAsia="仿宋"/>
          <w:sz w:val="32"/>
          <w:szCs w:val="32"/>
          <w:lang w:val="en-US" w:eastAsia="zh-CN"/>
        </w:rPr>
        <w:t>压缩经费支出</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410.99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92.8</w:t>
      </w:r>
      <w:r>
        <w:rPr>
          <w:rFonts w:ascii="仿宋_GB2312" w:eastAsia="仿宋_GB2312" w:cs="DengXian-Regular"/>
          <w:sz w:val="32"/>
          <w:szCs w:val="32"/>
        </w:rPr>
        <w:t>%,</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32.02</w:t>
      </w:r>
      <w:r>
        <w:rPr>
          <w:rFonts w:hint="eastAsia" w:ascii="仿宋_GB2312" w:eastAsia="仿宋_GB2312" w:cs="DengXian-Regular"/>
          <w:sz w:val="32"/>
          <w:szCs w:val="32"/>
        </w:rPr>
        <w:t>万元，决算数小于预算数主要是</w:t>
      </w:r>
      <w:r>
        <w:rPr>
          <w:rFonts w:hint="eastAsia" w:ascii="仿宋" w:hAnsi="仿宋" w:eastAsia="仿宋"/>
          <w:sz w:val="32"/>
          <w:szCs w:val="32"/>
          <w:lang w:val="en-US" w:eastAsia="zh-CN"/>
        </w:rPr>
        <w:t>压缩经费支出</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bookmarkStart w:id="0" w:name="_GoBack"/>
      <w:bookmarkEnd w:id="0"/>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hint="eastAsia" w:ascii="仿宋_GB2312" w:eastAsia="仿宋_GB2312" w:cs="DengXian-Regular"/>
          <w:sz w:val="32"/>
          <w:szCs w:val="32"/>
          <w:lang w:val="en-US" w:eastAsia="zh-CN"/>
        </w:rPr>
        <w:t>410.99</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highlight w:val="none"/>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320.25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77.9</w:t>
      </w:r>
      <w:r>
        <w:rPr>
          <w:rFonts w:ascii="仿宋_GB2312" w:eastAsia="仿宋_GB2312" w:cs="DengXian-Regular"/>
          <w:sz w:val="32"/>
          <w:szCs w:val="32"/>
        </w:rPr>
        <w:t>%</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67.27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16.4</w:t>
      </w:r>
      <w:r>
        <w:rPr>
          <w:rFonts w:ascii="仿宋_GB2312" w:eastAsia="仿宋_GB2312" w:cs="DengXian-Regular"/>
          <w:sz w:val="32"/>
          <w:szCs w:val="32"/>
        </w:rPr>
        <w:t>%</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医疗卫生与计划生育支出</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8.76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2.1</w:t>
      </w:r>
      <w:r>
        <w:rPr>
          <w:rFonts w:ascii="仿宋_GB2312" w:eastAsia="仿宋_GB2312" w:cs="DengXian-Regular"/>
          <w:sz w:val="32"/>
          <w:szCs w:val="32"/>
        </w:rPr>
        <w:t>%</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14.71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3.6</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410.99</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290.05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120.94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hint="eastAsia" w:eastAsia="仿宋_GB2312"/>
          <w:sz w:val="32"/>
          <w:szCs w:val="32"/>
          <w:lang w:val="en-US" w:eastAsia="zh-CN"/>
        </w:rPr>
        <w:t>0.81</w:t>
      </w:r>
      <w:r>
        <w:rPr>
          <w:rFonts w:hint="eastAsia" w:eastAsia="仿宋_GB2312"/>
          <w:sz w:val="32"/>
          <w:szCs w:val="32"/>
        </w:rPr>
        <w:t>万元，比年初预算减少</w:t>
      </w:r>
      <w:r>
        <w:rPr>
          <w:rFonts w:hint="eastAsia" w:eastAsia="仿宋_GB2312"/>
          <w:sz w:val="32"/>
          <w:szCs w:val="32"/>
          <w:lang w:val="en-US" w:eastAsia="zh-CN"/>
        </w:rPr>
        <w:t>1.19</w:t>
      </w:r>
      <w:r>
        <w:rPr>
          <w:rFonts w:hint="eastAsia" w:eastAsia="仿宋_GB2312"/>
          <w:sz w:val="32"/>
          <w:szCs w:val="32"/>
        </w:rPr>
        <w:t>万元，降低</w:t>
      </w:r>
      <w:r>
        <w:rPr>
          <w:rFonts w:hint="eastAsia" w:eastAsia="仿宋_GB2312"/>
          <w:sz w:val="32"/>
          <w:szCs w:val="32"/>
          <w:lang w:val="en-US" w:eastAsia="zh-CN"/>
        </w:rPr>
        <w:t>59.5</w:t>
      </w:r>
      <w:r>
        <w:rPr>
          <w:rFonts w:eastAsia="仿宋_GB2312"/>
          <w:sz w:val="32"/>
          <w:szCs w:val="32"/>
        </w:rPr>
        <w:t>%</w:t>
      </w:r>
      <w:r>
        <w:rPr>
          <w:rFonts w:hint="eastAsia" w:eastAsia="仿宋_GB2312"/>
          <w:sz w:val="32"/>
          <w:szCs w:val="32"/>
        </w:rPr>
        <w:t>，主要是</w:t>
      </w:r>
      <w:r>
        <w:rPr>
          <w:rFonts w:hint="eastAsia" w:eastAsia="仿宋_GB2312"/>
          <w:sz w:val="32"/>
          <w:szCs w:val="32"/>
          <w:lang w:val="en-US" w:eastAsia="zh-CN"/>
        </w:rPr>
        <w:t>公务用车车龄较大，常处于待修理状态</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1.2</w:t>
      </w:r>
      <w:r>
        <w:rPr>
          <w:rFonts w:hint="eastAsia" w:eastAsia="仿宋_GB2312"/>
          <w:sz w:val="32"/>
          <w:szCs w:val="32"/>
        </w:rPr>
        <w:t>万元，降低</w:t>
      </w:r>
      <w:r>
        <w:rPr>
          <w:rFonts w:hint="eastAsia" w:eastAsia="仿宋_GB2312"/>
          <w:sz w:val="32"/>
          <w:szCs w:val="32"/>
          <w:lang w:val="en-US" w:eastAsia="zh-CN"/>
        </w:rPr>
        <w:t>59.7</w:t>
      </w:r>
      <w:r>
        <w:rPr>
          <w:rFonts w:eastAsia="仿宋_GB2312"/>
          <w:sz w:val="32"/>
          <w:szCs w:val="32"/>
        </w:rPr>
        <w:t>%</w:t>
      </w:r>
      <w:r>
        <w:rPr>
          <w:rFonts w:hint="eastAsia" w:eastAsia="仿宋_GB2312"/>
          <w:sz w:val="32"/>
          <w:szCs w:val="32"/>
        </w:rPr>
        <w:t>，主要是</w:t>
      </w:r>
      <w:r>
        <w:rPr>
          <w:rFonts w:hint="eastAsia" w:eastAsia="仿宋_GB2312"/>
          <w:sz w:val="32"/>
          <w:szCs w:val="32"/>
          <w:lang w:val="en-US" w:eastAsia="zh-CN"/>
        </w:rPr>
        <w:t>公务用车车龄较大，常处于待修理状态</w:t>
      </w:r>
      <w:r>
        <w:rPr>
          <w:rFonts w:hint="eastAsia"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hint="eastAsia" w:eastAsia="楷体_GB2312"/>
          <w:b/>
          <w:bCs/>
          <w:sz w:val="32"/>
          <w:szCs w:val="32"/>
          <w:lang w:val="en-US" w:eastAsia="zh-CN"/>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w:t>
      </w:r>
      <w:r>
        <w:rPr>
          <w:rFonts w:ascii="仿宋" w:hAnsi="仿宋" w:eastAsia="仿宋"/>
          <w:sz w:val="32"/>
          <w:szCs w:val="32"/>
        </w:rPr>
        <w:t>较年初预算</w:t>
      </w:r>
      <w:r>
        <w:rPr>
          <w:rFonts w:hint="eastAsia" w:ascii="仿宋" w:hAnsi="仿宋" w:eastAsia="仿宋"/>
          <w:sz w:val="32"/>
          <w:szCs w:val="32"/>
        </w:rPr>
        <w:t>无增减变化</w:t>
      </w:r>
      <w:r>
        <w:rPr>
          <w:rFonts w:hint="eastAsia" w:eastAsia="仿宋_GB2312"/>
          <w:sz w:val="32"/>
          <w:szCs w:val="32"/>
        </w:rPr>
        <w:t>；</w:t>
      </w:r>
      <w:r>
        <w:rPr>
          <w:rFonts w:ascii="仿宋" w:hAnsi="仿宋" w:eastAsia="仿宋"/>
          <w:sz w:val="32"/>
          <w:szCs w:val="32"/>
        </w:rPr>
        <w:t>较</w:t>
      </w:r>
      <w:r>
        <w:rPr>
          <w:rFonts w:eastAsia="仿宋_GB2312"/>
          <w:sz w:val="32"/>
          <w:szCs w:val="32"/>
        </w:rPr>
        <w:t>2017</w:t>
      </w:r>
      <w:r>
        <w:rPr>
          <w:rFonts w:hint="eastAsia" w:eastAsia="仿宋_GB2312"/>
          <w:sz w:val="32"/>
          <w:szCs w:val="32"/>
        </w:rPr>
        <w:t>年度决算</w:t>
      </w:r>
      <w:r>
        <w:rPr>
          <w:rFonts w:hint="eastAsia" w:ascii="仿宋" w:hAnsi="仿宋" w:eastAsia="仿宋"/>
          <w:sz w:val="32"/>
          <w:szCs w:val="32"/>
        </w:rPr>
        <w:t>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hint="eastAsia" w:eastAsia="楷体_GB2312"/>
          <w:b/>
          <w:bCs/>
          <w:sz w:val="32"/>
          <w:szCs w:val="32"/>
          <w:lang w:val="en-US" w:eastAsia="zh-CN"/>
        </w:rPr>
        <w:t>0.81</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hint="eastAsia" w:eastAsia="仿宋_GB2312"/>
          <w:sz w:val="32"/>
          <w:szCs w:val="32"/>
          <w:lang w:val="en-US" w:eastAsia="zh-CN"/>
        </w:rPr>
        <w:t>1.19</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59.5</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eastAsia="仿宋_GB2312"/>
          <w:sz w:val="32"/>
          <w:szCs w:val="32"/>
          <w:lang w:val="en-US" w:eastAsia="zh-CN"/>
        </w:rPr>
        <w:t>公务用车车龄较大，常处于待修理状态</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1.2</w:t>
      </w:r>
      <w:r>
        <w:rPr>
          <w:rFonts w:hint="eastAsia" w:eastAsia="仿宋_GB2312"/>
          <w:sz w:val="32"/>
          <w:szCs w:val="32"/>
        </w:rPr>
        <w:t>万元，降低</w:t>
      </w:r>
      <w:r>
        <w:rPr>
          <w:rFonts w:hint="eastAsia" w:eastAsia="仿宋_GB2312"/>
          <w:sz w:val="32"/>
          <w:szCs w:val="32"/>
          <w:lang w:val="en-US" w:eastAsia="zh-CN"/>
        </w:rPr>
        <w:t>59.7</w:t>
      </w:r>
      <w:r>
        <w:rPr>
          <w:rFonts w:eastAsia="仿宋_GB2312"/>
          <w:sz w:val="32"/>
          <w:szCs w:val="32"/>
        </w:rPr>
        <w:t>%</w:t>
      </w:r>
      <w:r>
        <w:rPr>
          <w:rFonts w:hint="eastAsia" w:eastAsia="仿宋_GB2312"/>
          <w:sz w:val="32"/>
          <w:szCs w:val="32"/>
        </w:rPr>
        <w:t>，主要是</w:t>
      </w:r>
      <w:r>
        <w:rPr>
          <w:rFonts w:hint="eastAsia" w:eastAsia="仿宋_GB2312"/>
          <w:sz w:val="32"/>
          <w:szCs w:val="32"/>
          <w:lang w:val="en-US" w:eastAsia="zh-CN"/>
        </w:rPr>
        <w:t>公务用车车龄较大，常处于待修理状态</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643" w:firstLineChars="200"/>
        <w:rPr>
          <w:rFonts w:hint="eastAsia" w:eastAsia="仿宋_GB2312"/>
          <w:sz w:val="32"/>
          <w:szCs w:val="32"/>
          <w:lang w:val="en-US" w:eastAsia="zh-CN"/>
        </w:rPr>
      </w:pPr>
      <w:r>
        <w:rPr>
          <w:rFonts w:hint="eastAsia" w:eastAsia="仿宋_GB2312"/>
          <w:b/>
          <w:sz w:val="32"/>
          <w:szCs w:val="32"/>
        </w:rPr>
        <w:t>公务用车购置费支出</w:t>
      </w:r>
      <w:r>
        <w:rPr>
          <w:rFonts w:hint="eastAsia" w:eastAsia="仿宋_GB2312"/>
          <w:b/>
          <w:sz w:val="32"/>
          <w:szCs w:val="32"/>
          <w:lang w:val="en-US" w:eastAsia="zh-CN"/>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hint="eastAsia" w:eastAsia="仿宋_GB2312"/>
          <w:sz w:val="32"/>
          <w:szCs w:val="32"/>
          <w:lang w:val="en-US" w:eastAsia="zh-CN"/>
        </w:rPr>
        <w:t>0</w:t>
      </w:r>
      <w:r>
        <w:rPr>
          <w:rFonts w:hint="eastAsia" w:eastAsia="仿宋_GB2312"/>
          <w:sz w:val="32"/>
          <w:szCs w:val="32"/>
        </w:rPr>
        <w:t>辆。</w:t>
      </w:r>
      <w:r>
        <w:rPr>
          <w:rFonts w:hint="eastAsia" w:eastAsia="仿宋_GB2312"/>
          <w:sz w:val="32"/>
          <w:szCs w:val="32"/>
          <w:lang w:val="en-US" w:eastAsia="zh-CN"/>
        </w:rPr>
        <w:t>未发生“公务用车购置”经费支出。</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hint="eastAsia" w:eastAsia="仿宋_GB2312"/>
          <w:b/>
          <w:sz w:val="32"/>
          <w:szCs w:val="32"/>
          <w:lang w:val="en-US" w:eastAsia="zh-CN"/>
        </w:rPr>
        <w:t>0.81</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hint="eastAsia" w:eastAsia="仿宋_GB2312"/>
          <w:sz w:val="32"/>
          <w:szCs w:val="32"/>
          <w:lang w:val="en-US" w:eastAsia="zh-CN"/>
        </w:rPr>
        <w:t>1</w:t>
      </w:r>
      <w:r>
        <w:rPr>
          <w:rFonts w:hint="eastAsia" w:eastAsia="仿宋_GB2312"/>
          <w:sz w:val="32"/>
          <w:szCs w:val="32"/>
        </w:rPr>
        <w:t>辆。公车运行维护费支出比年初预算减少</w:t>
      </w:r>
      <w:r>
        <w:rPr>
          <w:rFonts w:hint="eastAsia" w:eastAsia="仿宋_GB2312"/>
          <w:sz w:val="32"/>
          <w:szCs w:val="32"/>
          <w:lang w:val="en-US" w:eastAsia="zh-CN"/>
        </w:rPr>
        <w:t>1.19</w:t>
      </w:r>
      <w:r>
        <w:rPr>
          <w:rFonts w:hint="eastAsia" w:eastAsia="仿宋_GB2312"/>
          <w:sz w:val="32"/>
          <w:szCs w:val="32"/>
        </w:rPr>
        <w:t>万元，降低</w:t>
      </w:r>
      <w:r>
        <w:rPr>
          <w:rFonts w:hint="eastAsia" w:eastAsia="仿宋_GB2312"/>
          <w:sz w:val="32"/>
          <w:szCs w:val="32"/>
          <w:lang w:val="en-US" w:eastAsia="zh-CN"/>
        </w:rPr>
        <w:t>59.5</w:t>
      </w:r>
      <w:r>
        <w:rPr>
          <w:rFonts w:eastAsia="仿宋_GB2312"/>
          <w:sz w:val="32"/>
          <w:szCs w:val="32"/>
        </w:rPr>
        <w:t>%</w:t>
      </w:r>
      <w:r>
        <w:rPr>
          <w:rFonts w:hint="eastAsia"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val="en-US" w:eastAsia="zh-CN"/>
        </w:rPr>
        <w:t>公务用车车龄较大，常处于待修理状态</w:t>
      </w:r>
      <w:r>
        <w:rPr>
          <w:rFonts w:hint="eastAsia" w:eastAsia="仿宋_GB2312"/>
          <w:sz w:val="32"/>
          <w:szCs w:val="32"/>
        </w:rPr>
        <w:t>；</w:t>
      </w:r>
      <w:r>
        <w:rPr>
          <w:rFonts w:hint="eastAsia" w:eastAsia="仿宋_GB2312"/>
          <w:sz w:val="32"/>
          <w:szCs w:val="32"/>
          <w:lang w:val="en-US" w:eastAsia="zh-CN"/>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1.2</w:t>
      </w:r>
      <w:r>
        <w:rPr>
          <w:rFonts w:hint="eastAsia" w:eastAsia="仿宋_GB2312"/>
          <w:sz w:val="32"/>
          <w:szCs w:val="32"/>
        </w:rPr>
        <w:t>万元，降低</w:t>
      </w:r>
      <w:r>
        <w:rPr>
          <w:rFonts w:hint="eastAsia" w:eastAsia="仿宋_GB2312"/>
          <w:sz w:val="32"/>
          <w:szCs w:val="32"/>
          <w:lang w:val="en-US" w:eastAsia="zh-CN"/>
        </w:rPr>
        <w:t>59.7</w:t>
      </w:r>
      <w:r>
        <w:rPr>
          <w:rFonts w:eastAsia="仿宋_GB2312"/>
          <w:sz w:val="32"/>
          <w:szCs w:val="32"/>
        </w:rPr>
        <w:t>%</w:t>
      </w:r>
      <w:r>
        <w:rPr>
          <w:rFonts w:hint="eastAsia" w:eastAsia="仿宋_GB2312"/>
          <w:sz w:val="32"/>
          <w:szCs w:val="32"/>
        </w:rPr>
        <w:t>，主要是</w:t>
      </w:r>
      <w:r>
        <w:rPr>
          <w:rFonts w:hint="eastAsia" w:eastAsia="仿宋_GB2312"/>
          <w:sz w:val="32"/>
          <w:szCs w:val="32"/>
          <w:lang w:val="en-US" w:eastAsia="zh-CN"/>
        </w:rPr>
        <w:t>公务用车车龄较大，常处于待修理状态</w:t>
      </w:r>
      <w:r>
        <w:rPr>
          <w:rFonts w:hint="eastAsia"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hint="eastAsia" w:eastAsia="楷体_GB2312"/>
          <w:b/>
          <w:bCs/>
          <w:sz w:val="32"/>
          <w:szCs w:val="32"/>
          <w:lang w:val="en-US" w:eastAsia="zh-CN"/>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hint="eastAsia" w:eastAsia="仿宋_GB2312"/>
          <w:sz w:val="32"/>
          <w:szCs w:val="32"/>
          <w:lang w:val="en-US" w:eastAsia="zh-CN"/>
        </w:rPr>
        <w:t>0</w:t>
      </w:r>
      <w:r>
        <w:rPr>
          <w:rFonts w:hint="eastAsia" w:eastAsia="仿宋_GB2312"/>
          <w:sz w:val="32"/>
          <w:szCs w:val="32"/>
        </w:rPr>
        <w:t>批次、</w:t>
      </w:r>
      <w:r>
        <w:rPr>
          <w:rFonts w:hint="eastAsia" w:eastAsia="仿宋_GB2312"/>
          <w:sz w:val="32"/>
          <w:szCs w:val="32"/>
          <w:lang w:val="en-US" w:eastAsia="zh-CN"/>
        </w:rPr>
        <w:t>0</w:t>
      </w:r>
      <w:r>
        <w:rPr>
          <w:rFonts w:hint="eastAsia" w:eastAsia="仿宋_GB2312"/>
          <w:sz w:val="32"/>
          <w:szCs w:val="32"/>
        </w:rPr>
        <w:t>人次。公务接待费支出</w:t>
      </w:r>
      <w:r>
        <w:rPr>
          <w:rFonts w:ascii="仿宋" w:hAnsi="仿宋" w:eastAsia="仿宋"/>
          <w:sz w:val="32"/>
          <w:szCs w:val="32"/>
        </w:rPr>
        <w:t>较</w:t>
      </w:r>
      <w:r>
        <w:rPr>
          <w:rFonts w:hint="eastAsia" w:eastAsia="仿宋_GB2312"/>
          <w:sz w:val="32"/>
          <w:szCs w:val="32"/>
        </w:rPr>
        <w:t>年初预算</w:t>
      </w:r>
      <w:r>
        <w:rPr>
          <w:rFonts w:hint="eastAsia" w:ascii="仿宋" w:hAnsi="仿宋" w:eastAsia="仿宋"/>
          <w:sz w:val="32"/>
          <w:szCs w:val="32"/>
        </w:rPr>
        <w:t>无增减变化</w:t>
      </w:r>
      <w:r>
        <w:rPr>
          <w:rFonts w:hint="eastAsia" w:eastAsia="仿宋_GB2312"/>
          <w:sz w:val="32"/>
          <w:szCs w:val="32"/>
        </w:rPr>
        <w:t>；</w:t>
      </w:r>
      <w:r>
        <w:rPr>
          <w:rFonts w:ascii="仿宋" w:hAnsi="仿宋" w:eastAsia="仿宋"/>
          <w:sz w:val="32"/>
          <w:szCs w:val="32"/>
        </w:rPr>
        <w:t>较</w:t>
      </w:r>
      <w:r>
        <w:rPr>
          <w:rFonts w:eastAsia="仿宋_GB2312"/>
          <w:sz w:val="32"/>
          <w:szCs w:val="32"/>
        </w:rPr>
        <w:t>2017</w:t>
      </w:r>
      <w:r>
        <w:rPr>
          <w:rFonts w:hint="eastAsia" w:eastAsia="仿宋_GB2312"/>
          <w:sz w:val="32"/>
          <w:szCs w:val="32"/>
        </w:rPr>
        <w:t>年度</w:t>
      </w:r>
      <w:r>
        <w:rPr>
          <w:rFonts w:hint="eastAsia" w:ascii="仿宋" w:hAnsi="仿宋" w:eastAsia="仿宋"/>
          <w:sz w:val="32"/>
          <w:szCs w:val="32"/>
        </w:rPr>
        <w:t>无增减变化</w:t>
      </w:r>
      <w:r>
        <w:rPr>
          <w:rFonts w:hint="eastAsia"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2018年度本部门认真按照《河北省预算绩效管理办法（试行）》、《河北省财政支出绩效评价管理办法》等制度规定，根据工作要求结合本部门实际，通过选定评价对象、调研项目情况、收集项目资料、完善评价指标、审核评价报告等一系列规范有序的程序，从预算编制与执行、资金分配与使用、资金监督与管理以及财务会计信息、项目组织管理、项目绩效完成等方面，采取目标预定与实施效果相比较、定量分析和定性分析相结合的方法，遵循“客观公正、公开透明”的原则，积极开展绩效自评工作。</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widowControl/>
        <w:ind w:firstLine="640"/>
        <w:jc w:val="left"/>
        <w:rPr>
          <w:rFonts w:ascii="仿宋" w:hAnsi="仿宋" w:eastAsia="仿宋"/>
          <w:sz w:val="32"/>
          <w:szCs w:val="32"/>
        </w:rPr>
      </w:pPr>
      <w:r>
        <w:rPr>
          <w:rFonts w:hint="eastAsia" w:ascii="仿宋" w:hAnsi="仿宋" w:eastAsia="仿宋" w:cs="仿宋"/>
          <w:bCs/>
          <w:kern w:val="0"/>
          <w:sz w:val="32"/>
          <w:szCs w:val="32"/>
          <w:lang w:val="en-US" w:eastAsia="zh-CN"/>
        </w:rPr>
        <w:t>制定工作方案，明确责任，确定指标细则；组织各科室准备自评材料，根据工作任务认真布署；</w:t>
      </w:r>
      <w:r>
        <w:rPr>
          <w:rFonts w:hint="eastAsia" w:ascii="仿宋" w:hAnsi="仿宋" w:eastAsia="仿宋" w:cs="仿宋"/>
          <w:bCs/>
          <w:kern w:val="0"/>
          <w:sz w:val="32"/>
          <w:szCs w:val="32"/>
        </w:rPr>
        <w:t>按照经济性、效率性、有效性的原则，定量分析与定性分析相结合的原则，真实性、科学性、规范性的原则，</w:t>
      </w:r>
      <w:r>
        <w:rPr>
          <w:rFonts w:hint="eastAsia" w:ascii="仿宋_GB2312" w:eastAsia="仿宋_GB2312" w:cs="DengXian-Regular"/>
          <w:sz w:val="32"/>
          <w:szCs w:val="32"/>
          <w:lang w:val="en-US" w:eastAsia="zh-CN"/>
        </w:rPr>
        <w:t>我部门社会效益良好，绩效综合评价等级“优”。通过绩效评价，明确了项目绩效目标，合理设置的内容全面、可操作性强的绩效评价指标，达到了绩效考核的目的。</w:t>
      </w:r>
    </w:p>
    <w:p>
      <w:pPr>
        <w:widowControl/>
        <w:numPr>
          <w:ilvl w:val="0"/>
          <w:numId w:val="2"/>
        </w:numPr>
        <w:ind w:left="0" w:leftChars="0"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widowControl/>
        <w:numPr>
          <w:ilvl w:val="0"/>
          <w:numId w:val="0"/>
        </w:numPr>
        <w:ind w:firstLine="640" w:firstLineChars="200"/>
        <w:jc w:val="left"/>
        <w:rPr>
          <w:rFonts w:hint="default" w:ascii="仿宋" w:hAnsi="仿宋" w:eastAsia="仿宋" w:cs="仿宋"/>
          <w:b w:val="0"/>
          <w:bCs/>
          <w:kern w:val="0"/>
          <w:sz w:val="32"/>
          <w:szCs w:val="32"/>
          <w:lang w:val="en-US" w:eastAsia="zh-CN" w:bidi="ar-SA"/>
        </w:rPr>
      </w:pPr>
      <w:r>
        <w:rPr>
          <w:rFonts w:hint="eastAsia" w:ascii="仿宋" w:hAnsi="仿宋" w:eastAsia="仿宋" w:cs="仿宋"/>
          <w:b w:val="0"/>
          <w:bCs/>
          <w:kern w:val="0"/>
          <w:sz w:val="32"/>
          <w:szCs w:val="32"/>
          <w:lang w:val="en-US" w:eastAsia="zh-CN" w:bidi="ar-SA"/>
        </w:rPr>
        <w:t>建立了绩效评价报告反馈整改和绩效信息公开机制。每个项目绩效评价完成后，向全体班子成员反馈评价情况。</w:t>
      </w:r>
      <w:r>
        <w:rPr>
          <w:rFonts w:hint="default" w:ascii="仿宋" w:hAnsi="仿宋" w:eastAsia="仿宋" w:cs="仿宋"/>
          <w:b w:val="0"/>
          <w:bCs/>
          <w:kern w:val="0"/>
          <w:sz w:val="32"/>
          <w:szCs w:val="32"/>
          <w:lang w:val="en-US" w:eastAsia="zh-CN" w:bidi="ar-SA"/>
        </w:rPr>
        <w:t>资金使用较合理，绩效水平较好，</w:t>
      </w:r>
      <w:r>
        <w:rPr>
          <w:rFonts w:hint="eastAsia" w:ascii="仿宋" w:hAnsi="仿宋" w:eastAsia="仿宋"/>
          <w:sz w:val="32"/>
          <w:szCs w:val="32"/>
        </w:rPr>
        <w:t>保证了预算支出进度</w:t>
      </w:r>
      <w:r>
        <w:rPr>
          <w:rFonts w:hint="eastAsia" w:ascii="仿宋" w:hAnsi="仿宋" w:eastAsia="仿宋"/>
          <w:sz w:val="32"/>
          <w:szCs w:val="32"/>
          <w:lang w:eastAsia="zh-CN"/>
        </w:rPr>
        <w:t>，</w:t>
      </w:r>
      <w:r>
        <w:rPr>
          <w:rFonts w:hint="eastAsia" w:ascii="仿宋" w:hAnsi="仿宋" w:eastAsia="仿宋"/>
          <w:sz w:val="32"/>
          <w:szCs w:val="32"/>
        </w:rPr>
        <w:t>符合部门预算制定的绩效评价标准，</w:t>
      </w:r>
      <w:r>
        <w:rPr>
          <w:rFonts w:hint="eastAsia" w:ascii="仿宋" w:hAnsi="仿宋" w:eastAsia="仿宋" w:cs="仿宋"/>
          <w:b w:val="0"/>
          <w:bCs/>
          <w:kern w:val="0"/>
          <w:sz w:val="32"/>
          <w:szCs w:val="32"/>
          <w:lang w:val="en-US" w:eastAsia="zh-CN" w:bidi="ar-SA"/>
        </w:rPr>
        <w:t>绩效综合评价等级为“优”。</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120.94</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82.97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218.5</w:t>
      </w:r>
      <w:r>
        <w:rPr>
          <w:rFonts w:eastAsia="仿宋_GB2312"/>
          <w:sz w:val="32"/>
          <w:szCs w:val="32"/>
        </w:rPr>
        <w:t>%</w:t>
      </w:r>
      <w:r>
        <w:rPr>
          <w:rFonts w:hint="eastAsia" w:ascii="仿宋_GB2312" w:eastAsia="仿宋_GB2312" w:cs="DengXian-Regular"/>
          <w:sz w:val="32"/>
          <w:szCs w:val="32"/>
        </w:rPr>
        <w:t>。主要是</w:t>
      </w:r>
      <w:r>
        <w:rPr>
          <w:rFonts w:hint="eastAsia" w:ascii="仿宋_GB2312" w:hAnsi="仿宋" w:eastAsia="仿宋_GB2312" w:cs="宋体"/>
          <w:kern w:val="0"/>
          <w:sz w:val="32"/>
          <w:szCs w:val="32"/>
          <w:lang w:val="en-US" w:eastAsia="zh-CN" w:bidi="ar-SA"/>
        </w:rPr>
        <w:t>业务量增大，所需人员工资、办公费、印刷费等费用相应增加</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w:t>
      </w:r>
      <w:r>
        <w:rPr>
          <w:rFonts w:hint="eastAsia" w:eastAsia="仿宋_GB2312"/>
          <w:sz w:val="32"/>
          <w:szCs w:val="32"/>
          <w:lang w:val="en-US" w:eastAsia="zh-CN"/>
        </w:rPr>
        <w:t>21.83</w:t>
      </w:r>
      <w:r>
        <w:rPr>
          <w:rFonts w:hint="eastAsia" w:eastAsia="仿宋_GB2312"/>
          <w:sz w:val="32"/>
          <w:szCs w:val="32"/>
        </w:rPr>
        <w:t>万元，增长</w:t>
      </w:r>
      <w:r>
        <w:rPr>
          <w:rFonts w:hint="eastAsia" w:eastAsia="仿宋_GB2312"/>
          <w:sz w:val="32"/>
          <w:szCs w:val="32"/>
          <w:lang w:val="en-US" w:eastAsia="zh-CN"/>
        </w:rPr>
        <w:t>22.0</w:t>
      </w:r>
      <w:r>
        <w:rPr>
          <w:rFonts w:eastAsia="仿宋_GB2312"/>
          <w:sz w:val="32"/>
          <w:szCs w:val="32"/>
        </w:rPr>
        <w:t>%</w:t>
      </w:r>
      <w:r>
        <w:rPr>
          <w:rFonts w:hint="eastAsia" w:eastAsia="仿宋_GB2312"/>
          <w:sz w:val="32"/>
          <w:szCs w:val="32"/>
        </w:rPr>
        <w:t>，</w:t>
      </w:r>
      <w:r>
        <w:rPr>
          <w:rFonts w:hint="eastAsia" w:ascii="仿宋_GB2312" w:eastAsia="仿宋_GB2312" w:cs="DengXian-Regular"/>
          <w:sz w:val="32"/>
          <w:szCs w:val="32"/>
        </w:rPr>
        <w:t>主要是</w:t>
      </w:r>
      <w:r>
        <w:rPr>
          <w:rFonts w:hint="eastAsia" w:ascii="仿宋_GB2312" w:hAnsi="仿宋" w:eastAsia="仿宋_GB2312" w:cs="宋体"/>
          <w:kern w:val="0"/>
          <w:sz w:val="32"/>
          <w:szCs w:val="32"/>
          <w:lang w:val="en-US" w:eastAsia="zh-CN" w:bidi="ar-SA"/>
        </w:rPr>
        <w:t>业务量增大，所需人员工资、办公费、印刷费等费用相应增加</w:t>
      </w:r>
      <w:r>
        <w:rPr>
          <w:rFonts w:hint="eastAsia"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default" w:ascii="仿宋_GB2312" w:eastAsia="仿宋_GB2312" w:cs="DengXian-Regular"/>
          <w:sz w:val="32"/>
          <w:szCs w:val="32"/>
          <w:lang w:val="en-US" w:eastAsia="zh-CN"/>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无</w:t>
      </w:r>
      <w:r>
        <w:rPr>
          <w:rFonts w:hint="eastAsia" w:ascii="仿宋_GB2312" w:eastAsia="仿宋_GB2312" w:cs="DengXian-Regular"/>
          <w:sz w:val="32"/>
          <w:szCs w:val="32"/>
        </w:rPr>
        <w:t>其他用车；单位价值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 w:hAnsi="仿宋" w:eastAsia="仿宋"/>
          <w:sz w:val="32"/>
          <w:szCs w:val="32"/>
        </w:rPr>
        <w:t>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 w:hAnsi="仿宋" w:eastAsia="仿宋"/>
          <w:sz w:val="32"/>
          <w:szCs w:val="32"/>
        </w:rPr>
        <w:t>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1、本部门2018年度政府性基金预算财政拨款无收支及结转结余情况，故政府性基金预算财政拨款收入支出决算表以空表列示</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国有资本经营预算财政拨款无收支及结转结余情况，故国有资本经营预算财政拨款收入支出决算表以空表列示</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政府采购无收支及结转结余情况，故政府采购情况表以空表列示</w:t>
      </w:r>
      <w:r>
        <w:rPr>
          <w:rFonts w:hint="eastAsia" w:ascii="仿宋_GB2312" w:eastAsia="仿宋_GB2312" w:cs="DengXian-Regular"/>
          <w:sz w:val="32"/>
          <w:szCs w:val="32"/>
          <w:lang w:eastAsia="zh-CN"/>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D141"/>
    <w:multiLevelType w:val="singleLevel"/>
    <w:tmpl w:val="1C0DD141"/>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70254"/>
    <w:rsid w:val="2E352597"/>
    <w:rsid w:val="2F421CFB"/>
    <w:rsid w:val="51B70254"/>
    <w:rsid w:val="5AE56C37"/>
    <w:rsid w:val="6D18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2019-11-20T06:48:00Z</dcterms:created>
  <dc:creator>lenovo</dc:creator>
  <cp:lastModifiedBy>lenovo</cp:lastModifiedBy>
  <dcterms:modified xsi:type="dcterms:W3CDTF">2019-10-22T07:47:16Z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